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E2924" w14:textId="77777777" w:rsidR="00665809" w:rsidRPr="00665809" w:rsidRDefault="00665809" w:rsidP="00665809">
      <w:pPr>
        <w:autoSpaceDE w:val="0"/>
        <w:autoSpaceDN w:val="0"/>
        <w:adjustRightInd w:val="0"/>
        <w:spacing w:after="0" w:line="240" w:lineRule="auto"/>
        <w:ind w:firstLine="709"/>
        <w:jc w:val="center"/>
        <w:rPr>
          <w:rFonts w:ascii="Times New Roman" w:hAnsi="Times New Roman" w:cs="Times New Roman"/>
          <w:b/>
          <w:bCs/>
          <w:sz w:val="28"/>
          <w:szCs w:val="28"/>
          <w:lang w:val="en-US"/>
        </w:rPr>
      </w:pPr>
      <w:bookmarkStart w:id="0" w:name="_GoBack"/>
      <w:bookmarkEnd w:id="0"/>
      <w:r w:rsidRPr="00665809">
        <w:rPr>
          <w:rFonts w:ascii="Times New Roman" w:hAnsi="Times New Roman" w:cs="Times New Roman"/>
          <w:b/>
          <w:bCs/>
          <w:sz w:val="28"/>
          <w:szCs w:val="28"/>
          <w:lang w:val="en-US"/>
        </w:rPr>
        <w:t>62/150. Strengthening the role of the United Nations in enhancing</w:t>
      </w:r>
    </w:p>
    <w:p w14:paraId="145CF23E" w14:textId="77777777" w:rsidR="00665809" w:rsidRPr="00665809" w:rsidRDefault="00665809" w:rsidP="00665809">
      <w:pPr>
        <w:autoSpaceDE w:val="0"/>
        <w:autoSpaceDN w:val="0"/>
        <w:adjustRightInd w:val="0"/>
        <w:spacing w:after="0" w:line="240" w:lineRule="auto"/>
        <w:ind w:firstLine="709"/>
        <w:jc w:val="center"/>
        <w:rPr>
          <w:rFonts w:ascii="Times New Roman" w:hAnsi="Times New Roman" w:cs="Times New Roman"/>
          <w:b/>
          <w:bCs/>
          <w:sz w:val="28"/>
          <w:szCs w:val="28"/>
          <w:lang w:val="en-US"/>
        </w:rPr>
      </w:pPr>
      <w:r w:rsidRPr="00665809">
        <w:rPr>
          <w:rFonts w:ascii="Times New Roman" w:hAnsi="Times New Roman" w:cs="Times New Roman"/>
          <w:b/>
          <w:bCs/>
          <w:sz w:val="28"/>
          <w:szCs w:val="28"/>
          <w:lang w:val="en-US"/>
        </w:rPr>
        <w:t>the effectiveness of the principle of periodic and genuine</w:t>
      </w:r>
    </w:p>
    <w:p w14:paraId="4CC5F5C9" w14:textId="77777777" w:rsidR="00665809" w:rsidRDefault="00665809" w:rsidP="00665809">
      <w:pPr>
        <w:autoSpaceDE w:val="0"/>
        <w:autoSpaceDN w:val="0"/>
        <w:adjustRightInd w:val="0"/>
        <w:spacing w:after="0" w:line="240" w:lineRule="auto"/>
        <w:ind w:firstLine="709"/>
        <w:jc w:val="center"/>
        <w:rPr>
          <w:rFonts w:ascii="Times New Roman" w:hAnsi="Times New Roman" w:cs="Times New Roman"/>
          <w:b/>
          <w:bCs/>
          <w:sz w:val="28"/>
          <w:szCs w:val="28"/>
          <w:lang w:val="en-US"/>
        </w:rPr>
      </w:pPr>
      <w:r w:rsidRPr="00665809">
        <w:rPr>
          <w:rFonts w:ascii="Times New Roman" w:hAnsi="Times New Roman" w:cs="Times New Roman"/>
          <w:b/>
          <w:bCs/>
          <w:sz w:val="28"/>
          <w:szCs w:val="28"/>
          <w:lang w:val="en-US"/>
        </w:rPr>
        <w:t>elections and the promotion of democratization</w:t>
      </w:r>
    </w:p>
    <w:p w14:paraId="61730D60" w14:textId="77777777" w:rsidR="00665809" w:rsidRDefault="00665809" w:rsidP="00665809">
      <w:pPr>
        <w:autoSpaceDE w:val="0"/>
        <w:autoSpaceDN w:val="0"/>
        <w:adjustRightInd w:val="0"/>
        <w:spacing w:after="0" w:line="240" w:lineRule="auto"/>
        <w:ind w:firstLine="709"/>
        <w:jc w:val="center"/>
        <w:rPr>
          <w:rFonts w:ascii="Times New Roman" w:hAnsi="Times New Roman" w:cs="Times New Roman"/>
          <w:b/>
          <w:bCs/>
          <w:sz w:val="28"/>
          <w:szCs w:val="28"/>
          <w:lang w:val="en-US"/>
        </w:rPr>
      </w:pPr>
    </w:p>
    <w:p w14:paraId="15D50CDF" w14:textId="77777777" w:rsidR="00665809" w:rsidRPr="00665809" w:rsidRDefault="00665809" w:rsidP="00665809">
      <w:pPr>
        <w:autoSpaceDE w:val="0"/>
        <w:autoSpaceDN w:val="0"/>
        <w:adjustRightInd w:val="0"/>
        <w:spacing w:after="0" w:line="240" w:lineRule="auto"/>
        <w:ind w:firstLine="709"/>
        <w:jc w:val="center"/>
        <w:rPr>
          <w:rFonts w:ascii="Times New Roman" w:hAnsi="Times New Roman" w:cs="Times New Roman"/>
          <w:b/>
          <w:bCs/>
          <w:sz w:val="28"/>
          <w:szCs w:val="28"/>
          <w:lang w:val="en-US"/>
        </w:rPr>
      </w:pPr>
      <w:r w:rsidRPr="00665809">
        <w:rPr>
          <w:rFonts w:ascii="Times New Roman" w:hAnsi="Times New Roman" w:cs="Times New Roman"/>
          <w:b/>
          <w:bCs/>
          <w:sz w:val="28"/>
          <w:szCs w:val="28"/>
          <w:lang w:val="en-US"/>
        </w:rPr>
        <w:t>Resolution adopted by the General Assembly on 18 December 2007</w:t>
      </w:r>
    </w:p>
    <w:p w14:paraId="295B7731"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b/>
          <w:bCs/>
          <w:sz w:val="28"/>
          <w:szCs w:val="28"/>
          <w:lang w:val="en-US"/>
        </w:rPr>
      </w:pPr>
    </w:p>
    <w:p w14:paraId="34F864C6"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The General Assembly</w:t>
      </w:r>
      <w:r w:rsidRPr="00665809">
        <w:rPr>
          <w:rFonts w:ascii="Times New Roman" w:hAnsi="Times New Roman" w:cs="Times New Roman"/>
          <w:sz w:val="28"/>
          <w:szCs w:val="28"/>
          <w:lang w:val="en-US"/>
        </w:rPr>
        <w:t>,</w:t>
      </w:r>
    </w:p>
    <w:p w14:paraId="383ECED4"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Recalling </w:t>
      </w:r>
      <w:r w:rsidRPr="00665809">
        <w:rPr>
          <w:rFonts w:ascii="Times New Roman" w:hAnsi="Times New Roman" w:cs="Times New Roman"/>
          <w:sz w:val="28"/>
          <w:szCs w:val="28"/>
          <w:lang w:val="en-US"/>
        </w:rPr>
        <w:t>its previous resolutions on the subject, in particular resolution 60/162 of 16 December 2005,</w:t>
      </w:r>
    </w:p>
    <w:p w14:paraId="5C917F1E"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Reaffirming </w:t>
      </w:r>
      <w:r w:rsidRPr="00665809">
        <w:rPr>
          <w:rFonts w:ascii="Times New Roman" w:hAnsi="Times New Roman" w:cs="Times New Roman"/>
          <w:sz w:val="28"/>
          <w:szCs w:val="28"/>
          <w:lang w:val="en-US"/>
        </w:rPr>
        <w:t>that United Nations electoral assistance and support for the promotion of democratization are provided only at the specific request of the Member State concerned,</w:t>
      </w:r>
    </w:p>
    <w:p w14:paraId="54C69583"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Noting with satisfaction </w:t>
      </w:r>
      <w:r w:rsidRPr="00665809">
        <w:rPr>
          <w:rFonts w:ascii="Times New Roman" w:hAnsi="Times New Roman" w:cs="Times New Roman"/>
          <w:sz w:val="28"/>
          <w:szCs w:val="28"/>
          <w:lang w:val="en-US"/>
        </w:rPr>
        <w:t>that increasing numbers of Member States are using elections as a peaceful means of discerning the will of the people, which builds confidence in representational governance and contributes to greater national peace and stability,</w:t>
      </w:r>
    </w:p>
    <w:p w14:paraId="6162A6D8"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Recalling </w:t>
      </w:r>
      <w:r w:rsidRPr="00665809">
        <w:rPr>
          <w:rFonts w:ascii="Times New Roman" w:hAnsi="Times New Roman" w:cs="Times New Roman"/>
          <w:sz w:val="28"/>
          <w:szCs w:val="28"/>
          <w:lang w:val="en-US"/>
        </w:rPr>
        <w:t>the Universal Declaration of Human Rights, adopted on 10 December 1948</w:t>
      </w:r>
      <w:r>
        <w:rPr>
          <w:rStyle w:val="a5"/>
          <w:rFonts w:ascii="Times New Roman" w:hAnsi="Times New Roman" w:cs="Times New Roman"/>
          <w:sz w:val="28"/>
          <w:szCs w:val="28"/>
          <w:lang w:val="en-US"/>
        </w:rPr>
        <w:footnoteReference w:id="1"/>
      </w:r>
      <w:r w:rsidRPr="00665809">
        <w:rPr>
          <w:rFonts w:ascii="Times New Roman" w:hAnsi="Times New Roman" w:cs="Times New Roman"/>
          <w:sz w:val="28"/>
          <w:szCs w:val="28"/>
          <w:lang w:val="en-US"/>
        </w:rPr>
        <w:t>, in particular the principle that the will of the people, as expressed through periodic and genuine elections, shall be the basis of government authority, as well as the right freely to choose representatives through periodic and genuine elections, which shall be by universal and equal suffrage and shall be held by secret vote or by equivalent free voting procedures,</w:t>
      </w:r>
    </w:p>
    <w:p w14:paraId="20A787A9"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Taking note with interest </w:t>
      </w:r>
      <w:r w:rsidRPr="00665809">
        <w:rPr>
          <w:rFonts w:ascii="Times New Roman" w:hAnsi="Times New Roman" w:cs="Times New Roman"/>
          <w:sz w:val="28"/>
          <w:szCs w:val="28"/>
          <w:lang w:val="en-US"/>
        </w:rPr>
        <w:t>of Commission on Human Rights resolution 2004/30 of 19 April 2004 on enhancing the role of regional, subregional and other organizations and arrangements in promoting and consolidating democracy</w:t>
      </w:r>
      <w:r>
        <w:rPr>
          <w:rStyle w:val="a5"/>
          <w:rFonts w:ascii="Times New Roman" w:hAnsi="Times New Roman" w:cs="Times New Roman"/>
          <w:sz w:val="28"/>
          <w:szCs w:val="28"/>
          <w:lang w:val="en-US"/>
        </w:rPr>
        <w:footnoteReference w:id="2"/>
      </w:r>
      <w:r w:rsidRPr="00665809">
        <w:rPr>
          <w:rFonts w:ascii="Times New Roman" w:hAnsi="Times New Roman" w:cs="Times New Roman"/>
          <w:sz w:val="28"/>
          <w:szCs w:val="28"/>
          <w:lang w:val="en-US"/>
        </w:rPr>
        <w:t xml:space="preserve"> and Commission resolution 2005/32 of 19 April 2005 on democracy and the rule of law</w:t>
      </w:r>
      <w:r>
        <w:rPr>
          <w:rStyle w:val="a5"/>
          <w:rFonts w:ascii="Times New Roman" w:hAnsi="Times New Roman" w:cs="Times New Roman"/>
          <w:sz w:val="28"/>
          <w:szCs w:val="28"/>
          <w:lang w:val="en-US"/>
        </w:rPr>
        <w:footnoteReference w:id="3"/>
      </w:r>
      <w:r w:rsidRPr="00665809">
        <w:rPr>
          <w:rFonts w:ascii="Times New Roman" w:hAnsi="Times New Roman" w:cs="Times New Roman"/>
          <w:sz w:val="28"/>
          <w:szCs w:val="28"/>
          <w:lang w:val="en-US"/>
        </w:rPr>
        <w:t>,</w:t>
      </w:r>
    </w:p>
    <w:p w14:paraId="560C140B"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Recognizing </w:t>
      </w:r>
      <w:r w:rsidRPr="00665809">
        <w:rPr>
          <w:rFonts w:ascii="Times New Roman" w:hAnsi="Times New Roman" w:cs="Times New Roman"/>
          <w:sz w:val="28"/>
          <w:szCs w:val="28"/>
          <w:lang w:val="en-US"/>
        </w:rPr>
        <w:t>the need for strengthening democratic processes, electoral institutions and national capacity-building, including the capacity to administer fair elections, promote women’s participation, increase citizen participation and provide civic education, in requesting countries in order to consolidate and regularize the achievements of previous elections and support subsequent elections,</w:t>
      </w:r>
    </w:p>
    <w:p w14:paraId="2869C5EF"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Welcoming </w:t>
      </w:r>
      <w:r w:rsidRPr="00665809">
        <w:rPr>
          <w:rFonts w:ascii="Times New Roman" w:hAnsi="Times New Roman" w:cs="Times New Roman"/>
          <w:sz w:val="28"/>
          <w:szCs w:val="28"/>
          <w:lang w:val="en-US"/>
        </w:rPr>
        <w:t>the support provided by States to the electoral assistance activities of the United Nations, inter alia, through the provision of electoral experts, including electoral commission staff, and observers, as well as through contributions to the United Nations Trust Fund for Electoral Assistance, the Democratic Governance Thematic Trust Fund and the United Nations Democracy Fund,</w:t>
      </w:r>
    </w:p>
    <w:p w14:paraId="7CDB36CA"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Welcoming also </w:t>
      </w:r>
      <w:r w:rsidRPr="00665809">
        <w:rPr>
          <w:rFonts w:ascii="Times New Roman" w:hAnsi="Times New Roman" w:cs="Times New Roman"/>
          <w:sz w:val="28"/>
          <w:szCs w:val="28"/>
          <w:lang w:val="en-US"/>
        </w:rPr>
        <w:t>the contributions made by international and regional organizations and also by non-governmental organizations to enhancing the effectiveness of the principle of periodic and genuine elections and the promotion of democratization,</w:t>
      </w:r>
    </w:p>
    <w:p w14:paraId="00D1E2D7"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i/>
          <w:iCs/>
          <w:sz w:val="28"/>
          <w:szCs w:val="28"/>
          <w:lang w:val="en-US"/>
        </w:rPr>
        <w:t xml:space="preserve">Having considered </w:t>
      </w:r>
      <w:r w:rsidRPr="00665809">
        <w:rPr>
          <w:rFonts w:ascii="Times New Roman" w:hAnsi="Times New Roman" w:cs="Times New Roman"/>
          <w:sz w:val="28"/>
          <w:szCs w:val="28"/>
          <w:lang w:val="en-US"/>
        </w:rPr>
        <w:t>the report of the Secretary-General</w:t>
      </w:r>
      <w:r>
        <w:rPr>
          <w:rStyle w:val="a5"/>
          <w:rFonts w:ascii="Times New Roman" w:hAnsi="Times New Roman" w:cs="Times New Roman"/>
          <w:sz w:val="28"/>
          <w:szCs w:val="28"/>
          <w:lang w:val="en-US"/>
        </w:rPr>
        <w:footnoteReference w:id="4"/>
      </w:r>
      <w:r w:rsidRPr="00665809">
        <w:rPr>
          <w:rFonts w:ascii="Times New Roman" w:hAnsi="Times New Roman" w:cs="Times New Roman"/>
          <w:sz w:val="28"/>
          <w:szCs w:val="28"/>
          <w:lang w:val="en-US"/>
        </w:rPr>
        <w:t>,</w:t>
      </w:r>
    </w:p>
    <w:p w14:paraId="0EF80489"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lastRenderedPageBreak/>
        <w:t xml:space="preserve">1. </w:t>
      </w:r>
      <w:r w:rsidRPr="00665809">
        <w:rPr>
          <w:rFonts w:ascii="Times New Roman" w:hAnsi="Times New Roman" w:cs="Times New Roman"/>
          <w:i/>
          <w:iCs/>
          <w:sz w:val="28"/>
          <w:szCs w:val="28"/>
          <w:lang w:val="en-US"/>
        </w:rPr>
        <w:t xml:space="preserve">Welcomes </w:t>
      </w:r>
      <w:r w:rsidRPr="00665809">
        <w:rPr>
          <w:rFonts w:ascii="Times New Roman" w:hAnsi="Times New Roman" w:cs="Times New Roman"/>
          <w:sz w:val="28"/>
          <w:szCs w:val="28"/>
          <w:lang w:val="en-US"/>
        </w:rPr>
        <w:t>the report of the Secretary-General;</w:t>
      </w:r>
    </w:p>
    <w:p w14:paraId="5BD2B89C"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2. </w:t>
      </w:r>
      <w:r w:rsidRPr="00665809">
        <w:rPr>
          <w:rFonts w:ascii="Times New Roman" w:hAnsi="Times New Roman" w:cs="Times New Roman"/>
          <w:i/>
          <w:iCs/>
          <w:sz w:val="28"/>
          <w:szCs w:val="28"/>
          <w:lang w:val="en-US"/>
        </w:rPr>
        <w:t xml:space="preserve">Commends </w:t>
      </w:r>
      <w:r w:rsidRPr="00665809">
        <w:rPr>
          <w:rFonts w:ascii="Times New Roman" w:hAnsi="Times New Roman" w:cs="Times New Roman"/>
          <w:sz w:val="28"/>
          <w:szCs w:val="28"/>
          <w:lang w:val="en-US"/>
        </w:rPr>
        <w:t>the electoral assistance provided upon request to Member States by the United Nations, and requests that such assistance continue on a caseby-case basis in accordance with the evolving needs of requesting countries to develop, improve and refine their electoral institutions and processes, recognizing that the fundamental responsibility for organizing free and fair elections lies with Governments;</w:t>
      </w:r>
    </w:p>
    <w:p w14:paraId="3E0130E5"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3. </w:t>
      </w:r>
      <w:r w:rsidRPr="00665809">
        <w:rPr>
          <w:rFonts w:ascii="Times New Roman" w:hAnsi="Times New Roman" w:cs="Times New Roman"/>
          <w:i/>
          <w:iCs/>
          <w:sz w:val="28"/>
          <w:szCs w:val="28"/>
          <w:lang w:val="en-US"/>
        </w:rPr>
        <w:t xml:space="preserve">Requests </w:t>
      </w:r>
      <w:r w:rsidRPr="00665809">
        <w:rPr>
          <w:rFonts w:ascii="Times New Roman" w:hAnsi="Times New Roman" w:cs="Times New Roman"/>
          <w:sz w:val="28"/>
          <w:szCs w:val="28"/>
          <w:lang w:val="en-US"/>
        </w:rPr>
        <w:t>the Under-Secretary-General for Political Affairs, in his role as United Nations focal point for electoral assistance matters, to continue to inform Member States regularly about the requests received and the nature of any assistance provided;</w:t>
      </w:r>
    </w:p>
    <w:p w14:paraId="4EBD98DB"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4. </w:t>
      </w:r>
      <w:r w:rsidRPr="00665809">
        <w:rPr>
          <w:rFonts w:ascii="Times New Roman" w:hAnsi="Times New Roman" w:cs="Times New Roman"/>
          <w:i/>
          <w:iCs/>
          <w:sz w:val="28"/>
          <w:szCs w:val="28"/>
          <w:lang w:val="en-US"/>
        </w:rPr>
        <w:t xml:space="preserve">Requests </w:t>
      </w:r>
      <w:r w:rsidRPr="00665809">
        <w:rPr>
          <w:rFonts w:ascii="Times New Roman" w:hAnsi="Times New Roman" w:cs="Times New Roman"/>
          <w:sz w:val="28"/>
          <w:szCs w:val="28"/>
          <w:lang w:val="en-US"/>
        </w:rPr>
        <w:t>that the United Nations continue its efforts to ensure, before undertaking to provide electoral assistance to a requesting State, that there is adequate time to organize and carry out an effective mission for providing such assistance, including the provision of long-term technical cooperation, that conditions exist to allow a free and fair election and that the results of the mission will be reported comprehensively and consistently;</w:t>
      </w:r>
    </w:p>
    <w:p w14:paraId="5A9DF754"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5. </w:t>
      </w:r>
      <w:r w:rsidRPr="00665809">
        <w:rPr>
          <w:rFonts w:ascii="Times New Roman" w:hAnsi="Times New Roman" w:cs="Times New Roman"/>
          <w:i/>
          <w:iCs/>
          <w:sz w:val="28"/>
          <w:szCs w:val="28"/>
          <w:lang w:val="en-US"/>
        </w:rPr>
        <w:t xml:space="preserve">Recommends </w:t>
      </w:r>
      <w:r w:rsidRPr="00665809">
        <w:rPr>
          <w:rFonts w:ascii="Times New Roman" w:hAnsi="Times New Roman" w:cs="Times New Roman"/>
          <w:sz w:val="28"/>
          <w:szCs w:val="28"/>
          <w:lang w:val="en-US"/>
        </w:rPr>
        <w:t>that, throughout the time span of the entire electoral cycle, including before and after elections, as appropriate, based on a needs assessment, the United Nations continue to provide technical advice and other assistance to requesting States and electoral institutions in order to help to strengthen their democratic processes;</w:t>
      </w:r>
    </w:p>
    <w:p w14:paraId="79262F53"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6. </w:t>
      </w:r>
      <w:r w:rsidRPr="00665809">
        <w:rPr>
          <w:rFonts w:ascii="Times New Roman" w:hAnsi="Times New Roman" w:cs="Times New Roman"/>
          <w:i/>
          <w:iCs/>
          <w:sz w:val="28"/>
          <w:szCs w:val="28"/>
          <w:lang w:val="en-US"/>
        </w:rPr>
        <w:t xml:space="preserve">Notes with appreciation </w:t>
      </w:r>
      <w:r w:rsidRPr="00665809">
        <w:rPr>
          <w:rFonts w:ascii="Times New Roman" w:hAnsi="Times New Roman" w:cs="Times New Roman"/>
          <w:sz w:val="28"/>
          <w:szCs w:val="28"/>
          <w:lang w:val="en-US"/>
        </w:rPr>
        <w:t>the additional efforts being made to enhance cooperation with other international, governmental and non-governmental organizations in order to facilitate more comprehensive and needs-specific responses to requests for electoral assistance, encourages those organizations to share knowledge and experience in order to promote best practices in the assistance they provide and in their reporting on electoral processes, and expresses its appreciation to those Member States, regional organizations and non-governmental organizations that have provided observers or technical experts in support of United Nations electoral assistance efforts;</w:t>
      </w:r>
    </w:p>
    <w:p w14:paraId="48F26CE0"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7. </w:t>
      </w:r>
      <w:r w:rsidRPr="00665809">
        <w:rPr>
          <w:rFonts w:ascii="Times New Roman" w:hAnsi="Times New Roman" w:cs="Times New Roman"/>
          <w:i/>
          <w:iCs/>
          <w:sz w:val="28"/>
          <w:szCs w:val="28"/>
          <w:lang w:val="en-US"/>
        </w:rPr>
        <w:t xml:space="preserve">Recalls </w:t>
      </w:r>
      <w:r w:rsidRPr="00665809">
        <w:rPr>
          <w:rFonts w:ascii="Times New Roman" w:hAnsi="Times New Roman" w:cs="Times New Roman"/>
          <w:sz w:val="28"/>
          <w:szCs w:val="28"/>
          <w:lang w:val="en-US"/>
        </w:rPr>
        <w:t>the establishment by the Secretary-General of the United Nations Trust Fund for Electoral Assistance, and, bearing in mind that the Fund is currently close to depletion, calls upon Member States to consider contributing to the Fund;</w:t>
      </w:r>
    </w:p>
    <w:p w14:paraId="1747B29B"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8. </w:t>
      </w:r>
      <w:r w:rsidRPr="00665809">
        <w:rPr>
          <w:rFonts w:ascii="Times New Roman" w:hAnsi="Times New Roman" w:cs="Times New Roman"/>
          <w:i/>
          <w:iCs/>
          <w:sz w:val="28"/>
          <w:szCs w:val="28"/>
          <w:lang w:val="en-US"/>
        </w:rPr>
        <w:t xml:space="preserve">Encourages </w:t>
      </w:r>
      <w:r w:rsidRPr="00665809">
        <w:rPr>
          <w:rFonts w:ascii="Times New Roman" w:hAnsi="Times New Roman" w:cs="Times New Roman"/>
          <w:sz w:val="28"/>
          <w:szCs w:val="28"/>
          <w:lang w:val="en-US"/>
        </w:rPr>
        <w:t>the Secretary-General, through the United Nations focal point for electoral assistance matters and with the support of the Electoral Assistance Division of the Department of Political Affairs of the Secretariat, to continue responding to the evolving nature of requests for assistance and the growing need for specific types of medium-term expert assistance aimed at supporting and strengthening the existing capacity of the requesting Government, in particular by enhancing the capacity of national electoral institutions;</w:t>
      </w:r>
    </w:p>
    <w:p w14:paraId="349BA6FF"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9. </w:t>
      </w:r>
      <w:r w:rsidRPr="00665809">
        <w:rPr>
          <w:rFonts w:ascii="Times New Roman" w:hAnsi="Times New Roman" w:cs="Times New Roman"/>
          <w:i/>
          <w:iCs/>
          <w:sz w:val="28"/>
          <w:szCs w:val="28"/>
          <w:lang w:val="en-US"/>
        </w:rPr>
        <w:t xml:space="preserve">Requests </w:t>
      </w:r>
      <w:r w:rsidRPr="00665809">
        <w:rPr>
          <w:rFonts w:ascii="Times New Roman" w:hAnsi="Times New Roman" w:cs="Times New Roman"/>
          <w:sz w:val="28"/>
          <w:szCs w:val="28"/>
          <w:lang w:val="en-US"/>
        </w:rPr>
        <w:t xml:space="preserve">the Secretary-General to provide the Electoral Assistance Division with adequate human and financial resources to allow it to carry out its mandate, including to enhance the accessibility and diversity of the roster of electoral experts and the Organization’s electoral institutional memory, and to continue to ensure that </w:t>
      </w:r>
      <w:r w:rsidRPr="00665809">
        <w:rPr>
          <w:rFonts w:ascii="Times New Roman" w:hAnsi="Times New Roman" w:cs="Times New Roman"/>
          <w:sz w:val="28"/>
          <w:szCs w:val="28"/>
          <w:lang w:val="en-US"/>
        </w:rPr>
        <w:lastRenderedPageBreak/>
        <w:t>the Office of the United Nations High Commissioner for Human Rights is able to respond, within its mandate and in close coordination with the Division, to the numerous and increasingly complex and comprehensive requests from Member States for advisory services;</w:t>
      </w:r>
    </w:p>
    <w:p w14:paraId="52625170"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10. </w:t>
      </w:r>
      <w:r w:rsidRPr="00665809">
        <w:rPr>
          <w:rFonts w:ascii="Times New Roman" w:hAnsi="Times New Roman" w:cs="Times New Roman"/>
          <w:i/>
          <w:iCs/>
          <w:sz w:val="28"/>
          <w:szCs w:val="28"/>
          <w:lang w:val="en-US"/>
        </w:rPr>
        <w:t xml:space="preserve">Notes with satisfaction </w:t>
      </w:r>
      <w:r w:rsidRPr="00665809">
        <w:rPr>
          <w:rFonts w:ascii="Times New Roman" w:hAnsi="Times New Roman" w:cs="Times New Roman"/>
          <w:sz w:val="28"/>
          <w:szCs w:val="28"/>
          <w:lang w:val="en-US"/>
        </w:rPr>
        <w:t>the comprehensive coordination, under the auspices of the United Nations focal point for electoral assistance matters, between the Electoral Assistance Division and the United Nations Development Programme and the Department of Peacekeeping Operations and the Department of Field Support of the Secretariat, and encourages further engagement of the Office of the High Commissioner in this context;</w:t>
      </w:r>
    </w:p>
    <w:p w14:paraId="20DB167F"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11. </w:t>
      </w:r>
      <w:r w:rsidRPr="00665809">
        <w:rPr>
          <w:rFonts w:ascii="Times New Roman" w:hAnsi="Times New Roman" w:cs="Times New Roman"/>
          <w:i/>
          <w:iCs/>
          <w:sz w:val="28"/>
          <w:szCs w:val="28"/>
          <w:lang w:val="en-US"/>
        </w:rPr>
        <w:t xml:space="preserve">Requests </w:t>
      </w:r>
      <w:r w:rsidRPr="00665809">
        <w:rPr>
          <w:rFonts w:ascii="Times New Roman" w:hAnsi="Times New Roman" w:cs="Times New Roman"/>
          <w:sz w:val="28"/>
          <w:szCs w:val="28"/>
          <w:lang w:val="en-US"/>
        </w:rPr>
        <w:t>the United Nations Development Programme to continue its democratic governance assistance programmes in cooperation with other relevant organizations, in particular those that strengthen democratic institutions and linkages between civil society and Governments;</w:t>
      </w:r>
    </w:p>
    <w:p w14:paraId="0FFAD3B1"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12. </w:t>
      </w:r>
      <w:r w:rsidRPr="00665809">
        <w:rPr>
          <w:rFonts w:ascii="Times New Roman" w:hAnsi="Times New Roman" w:cs="Times New Roman"/>
          <w:i/>
          <w:iCs/>
          <w:sz w:val="28"/>
          <w:szCs w:val="28"/>
          <w:lang w:val="en-US"/>
        </w:rPr>
        <w:t xml:space="preserve">Reiterates </w:t>
      </w:r>
      <w:r w:rsidRPr="00665809">
        <w:rPr>
          <w:rFonts w:ascii="Times New Roman" w:hAnsi="Times New Roman" w:cs="Times New Roman"/>
          <w:sz w:val="28"/>
          <w:szCs w:val="28"/>
          <w:lang w:val="en-US"/>
        </w:rPr>
        <w:t>the importance of reinforced coordination within and outside the United Nations system, and reaffirms the role of the United Nations focal point for electoral assistance in ensuring system-wide coherence and consistency and in strengthening the institutional memory and the development and dissemination of electoral policies;</w:t>
      </w:r>
    </w:p>
    <w:p w14:paraId="2497E0B4" w14:textId="77777777" w:rsid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r w:rsidRPr="00665809">
        <w:rPr>
          <w:rFonts w:ascii="Times New Roman" w:hAnsi="Times New Roman" w:cs="Times New Roman"/>
          <w:sz w:val="28"/>
          <w:szCs w:val="28"/>
          <w:lang w:val="en-US"/>
        </w:rPr>
        <w:t xml:space="preserve">13. </w:t>
      </w:r>
      <w:r w:rsidRPr="00665809">
        <w:rPr>
          <w:rFonts w:ascii="Times New Roman" w:hAnsi="Times New Roman" w:cs="Times New Roman"/>
          <w:i/>
          <w:iCs/>
          <w:sz w:val="28"/>
          <w:szCs w:val="28"/>
          <w:lang w:val="en-US"/>
        </w:rPr>
        <w:t xml:space="preserve">Requests </w:t>
      </w:r>
      <w:r w:rsidRPr="00665809">
        <w:rPr>
          <w:rFonts w:ascii="Times New Roman" w:hAnsi="Times New Roman" w:cs="Times New Roman"/>
          <w:sz w:val="28"/>
          <w:szCs w:val="28"/>
          <w:lang w:val="en-US"/>
        </w:rPr>
        <w:t>the Secretary-General to report to the General Assembly at its sixty-fourth session on the implementation of the present resolution, in particular on the status of requests from Member States for electoral assistance, and on his efforts to enhance support by the Organization for the democratization process in Member States.</w:t>
      </w:r>
    </w:p>
    <w:p w14:paraId="71942417" w14:textId="77777777" w:rsidR="00665809" w:rsidRPr="00665809" w:rsidRDefault="00665809" w:rsidP="00665809">
      <w:pPr>
        <w:autoSpaceDE w:val="0"/>
        <w:autoSpaceDN w:val="0"/>
        <w:adjustRightInd w:val="0"/>
        <w:spacing w:after="0" w:line="240" w:lineRule="auto"/>
        <w:ind w:firstLine="709"/>
        <w:jc w:val="both"/>
        <w:rPr>
          <w:rFonts w:ascii="Times New Roman" w:hAnsi="Times New Roman" w:cs="Times New Roman"/>
          <w:sz w:val="28"/>
          <w:szCs w:val="28"/>
          <w:lang w:val="en-US"/>
        </w:rPr>
      </w:pPr>
    </w:p>
    <w:p w14:paraId="5B398A3A" w14:textId="77777777" w:rsidR="00665809" w:rsidRPr="00665809" w:rsidRDefault="00665809" w:rsidP="00665809">
      <w:pPr>
        <w:autoSpaceDE w:val="0"/>
        <w:autoSpaceDN w:val="0"/>
        <w:adjustRightInd w:val="0"/>
        <w:spacing w:after="0" w:line="240" w:lineRule="auto"/>
        <w:ind w:firstLine="709"/>
        <w:jc w:val="right"/>
        <w:rPr>
          <w:rFonts w:ascii="Times New Roman" w:hAnsi="Times New Roman" w:cs="Times New Roman"/>
          <w:i/>
          <w:iCs/>
          <w:sz w:val="28"/>
          <w:szCs w:val="28"/>
          <w:lang w:val="en-US"/>
        </w:rPr>
      </w:pPr>
      <w:r w:rsidRPr="00665809">
        <w:rPr>
          <w:rFonts w:ascii="Times New Roman" w:hAnsi="Times New Roman" w:cs="Times New Roman"/>
          <w:i/>
          <w:iCs/>
          <w:sz w:val="28"/>
          <w:szCs w:val="28"/>
          <w:lang w:val="en-US"/>
        </w:rPr>
        <w:t>76th plenary meeting</w:t>
      </w:r>
    </w:p>
    <w:p w14:paraId="4978C749" w14:textId="77777777" w:rsidR="00665809" w:rsidRPr="00665809" w:rsidRDefault="00665809" w:rsidP="00665809">
      <w:pPr>
        <w:ind w:firstLine="709"/>
        <w:jc w:val="right"/>
        <w:rPr>
          <w:rFonts w:ascii="Times New Roman" w:hAnsi="Times New Roman" w:cs="Times New Roman"/>
          <w:sz w:val="28"/>
          <w:szCs w:val="28"/>
          <w:lang w:val="en-US"/>
        </w:rPr>
      </w:pPr>
      <w:r w:rsidRPr="00665809">
        <w:rPr>
          <w:rFonts w:ascii="Times New Roman" w:hAnsi="Times New Roman" w:cs="Times New Roman"/>
          <w:i/>
          <w:iCs/>
          <w:sz w:val="28"/>
          <w:szCs w:val="28"/>
          <w:lang w:val="en-US"/>
        </w:rPr>
        <w:t>18 December 2007</w:t>
      </w:r>
    </w:p>
    <w:sectPr w:rsidR="00665809" w:rsidRPr="006658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8A81" w14:textId="77777777" w:rsidR="000B120F" w:rsidRDefault="000B120F" w:rsidP="00665809">
      <w:pPr>
        <w:spacing w:after="0" w:line="240" w:lineRule="auto"/>
      </w:pPr>
      <w:r>
        <w:separator/>
      </w:r>
    </w:p>
  </w:endnote>
  <w:endnote w:type="continuationSeparator" w:id="0">
    <w:p w14:paraId="6953EC98" w14:textId="77777777" w:rsidR="000B120F" w:rsidRDefault="000B120F" w:rsidP="0066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B7629" w14:textId="77777777" w:rsidR="000B120F" w:rsidRDefault="000B120F" w:rsidP="00665809">
      <w:pPr>
        <w:spacing w:after="0" w:line="240" w:lineRule="auto"/>
      </w:pPr>
      <w:r>
        <w:separator/>
      </w:r>
    </w:p>
  </w:footnote>
  <w:footnote w:type="continuationSeparator" w:id="0">
    <w:p w14:paraId="67114FCA" w14:textId="77777777" w:rsidR="000B120F" w:rsidRDefault="000B120F" w:rsidP="00665809">
      <w:pPr>
        <w:spacing w:after="0" w:line="240" w:lineRule="auto"/>
      </w:pPr>
      <w:r>
        <w:continuationSeparator/>
      </w:r>
    </w:p>
  </w:footnote>
  <w:footnote w:id="1">
    <w:p w14:paraId="2B35C391" w14:textId="77777777" w:rsidR="00665809" w:rsidRPr="00665809" w:rsidRDefault="00665809" w:rsidP="00665809">
      <w:pPr>
        <w:pStyle w:val="a3"/>
        <w:jc w:val="both"/>
        <w:rPr>
          <w:rFonts w:ascii="Times New Roman" w:hAnsi="Times New Roman" w:cs="Times New Roman"/>
        </w:rPr>
      </w:pPr>
      <w:r w:rsidRPr="00665809">
        <w:rPr>
          <w:rStyle w:val="a5"/>
          <w:rFonts w:ascii="Times New Roman" w:hAnsi="Times New Roman" w:cs="Times New Roman"/>
        </w:rPr>
        <w:footnoteRef/>
      </w:r>
      <w:r w:rsidRPr="00665809">
        <w:rPr>
          <w:rFonts w:ascii="Times New Roman" w:hAnsi="Times New Roman" w:cs="Times New Roman"/>
        </w:rPr>
        <w:t xml:space="preserve"> </w:t>
      </w:r>
      <w:r w:rsidRPr="00665809">
        <w:rPr>
          <w:rFonts w:ascii="Times New Roman" w:hAnsi="Times New Roman" w:cs="Times New Roman"/>
          <w:lang w:val="en-US"/>
        </w:rPr>
        <w:t>Resolution 217 A (III).</w:t>
      </w:r>
    </w:p>
  </w:footnote>
  <w:footnote w:id="2">
    <w:p w14:paraId="489C5BB5" w14:textId="77777777" w:rsidR="00665809" w:rsidRPr="00665809" w:rsidRDefault="00665809" w:rsidP="00665809">
      <w:pPr>
        <w:autoSpaceDE w:val="0"/>
        <w:autoSpaceDN w:val="0"/>
        <w:adjustRightInd w:val="0"/>
        <w:spacing w:after="0" w:line="240" w:lineRule="auto"/>
        <w:jc w:val="both"/>
        <w:rPr>
          <w:rFonts w:ascii="Times New Roman" w:hAnsi="Times New Roman" w:cs="Times New Roman"/>
          <w:sz w:val="20"/>
          <w:szCs w:val="20"/>
          <w:lang w:val="en-US"/>
        </w:rPr>
      </w:pPr>
      <w:r w:rsidRPr="00665809">
        <w:rPr>
          <w:rStyle w:val="a5"/>
          <w:rFonts w:ascii="Times New Roman" w:hAnsi="Times New Roman" w:cs="Times New Roman"/>
          <w:sz w:val="20"/>
          <w:szCs w:val="20"/>
        </w:rPr>
        <w:footnoteRef/>
      </w:r>
      <w:r w:rsidRPr="00665809">
        <w:rPr>
          <w:rFonts w:ascii="Times New Roman" w:hAnsi="Times New Roman" w:cs="Times New Roman"/>
          <w:sz w:val="20"/>
          <w:szCs w:val="20"/>
          <w:lang w:val="en-US"/>
        </w:rPr>
        <w:t xml:space="preserve"> See </w:t>
      </w:r>
      <w:r w:rsidRPr="00665809">
        <w:rPr>
          <w:rFonts w:ascii="Times New Roman" w:hAnsi="Times New Roman" w:cs="Times New Roman"/>
          <w:i/>
          <w:iCs/>
          <w:sz w:val="20"/>
          <w:szCs w:val="20"/>
          <w:lang w:val="en-US"/>
        </w:rPr>
        <w:t xml:space="preserve">Official Records of the Economic and Social Council, 2004, Supplement No. 3 </w:t>
      </w:r>
      <w:r w:rsidRPr="00665809">
        <w:rPr>
          <w:rFonts w:ascii="Times New Roman" w:hAnsi="Times New Roman" w:cs="Times New Roman"/>
          <w:sz w:val="20"/>
          <w:szCs w:val="20"/>
          <w:lang w:val="en-US"/>
        </w:rPr>
        <w:t>(E/2004/23), chap. II,</w:t>
      </w:r>
      <w:r>
        <w:rPr>
          <w:rFonts w:ascii="Times New Roman" w:hAnsi="Times New Roman" w:cs="Times New Roman"/>
          <w:sz w:val="20"/>
          <w:szCs w:val="20"/>
        </w:rPr>
        <w:t xml:space="preserve"> </w:t>
      </w:r>
      <w:r w:rsidRPr="00665809">
        <w:rPr>
          <w:rFonts w:ascii="Times New Roman" w:hAnsi="Times New Roman" w:cs="Times New Roman"/>
          <w:sz w:val="20"/>
          <w:szCs w:val="20"/>
          <w:lang w:val="en-US"/>
        </w:rPr>
        <w:t>sect. A.</w:t>
      </w:r>
    </w:p>
  </w:footnote>
  <w:footnote w:id="3">
    <w:p w14:paraId="3176FF6A" w14:textId="77777777" w:rsidR="00665809" w:rsidRPr="00665809" w:rsidRDefault="00665809" w:rsidP="00665809">
      <w:pPr>
        <w:pStyle w:val="a3"/>
        <w:jc w:val="both"/>
        <w:rPr>
          <w:lang w:val="en-US"/>
        </w:rPr>
      </w:pPr>
      <w:r w:rsidRPr="00665809">
        <w:rPr>
          <w:rStyle w:val="a5"/>
          <w:rFonts w:ascii="Times New Roman" w:hAnsi="Times New Roman" w:cs="Times New Roman"/>
        </w:rPr>
        <w:footnoteRef/>
      </w:r>
      <w:r w:rsidRPr="00665809">
        <w:rPr>
          <w:rFonts w:ascii="Times New Roman" w:hAnsi="Times New Roman" w:cs="Times New Roman"/>
          <w:lang w:val="en-US"/>
        </w:rPr>
        <w:t xml:space="preserve"> Ibid., </w:t>
      </w:r>
      <w:r w:rsidRPr="00665809">
        <w:rPr>
          <w:rFonts w:ascii="Times New Roman" w:hAnsi="Times New Roman" w:cs="Times New Roman"/>
          <w:i/>
          <w:iCs/>
          <w:lang w:val="en-US"/>
        </w:rPr>
        <w:t xml:space="preserve">2005, Supplement No. 3 </w:t>
      </w:r>
      <w:r w:rsidRPr="00665809">
        <w:rPr>
          <w:rFonts w:ascii="Times New Roman" w:hAnsi="Times New Roman" w:cs="Times New Roman"/>
          <w:lang w:val="en-US"/>
        </w:rPr>
        <w:t>and corrigenda (E/2005/23 and Corr.1 and 2), chap. II, sect. A.</w:t>
      </w:r>
    </w:p>
  </w:footnote>
  <w:footnote w:id="4">
    <w:p w14:paraId="3D3160C5" w14:textId="77777777" w:rsidR="00665809" w:rsidRDefault="00665809">
      <w:pPr>
        <w:pStyle w:val="a3"/>
      </w:pPr>
      <w:r>
        <w:rPr>
          <w:rStyle w:val="a5"/>
        </w:rPr>
        <w:footnoteRef/>
      </w:r>
      <w:r>
        <w:t xml:space="preserve"> </w:t>
      </w:r>
      <w:r w:rsidRPr="00665809">
        <w:rPr>
          <w:rFonts w:ascii="Times New Roman" w:hAnsi="Times New Roman" w:cs="Times New Roman"/>
        </w:rPr>
        <w:t>A/62/293.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09"/>
    <w:rsid w:val="000B120F"/>
    <w:rsid w:val="001E5069"/>
    <w:rsid w:val="00665809"/>
    <w:rsid w:val="00742E2F"/>
    <w:rsid w:val="00E1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9432"/>
  <w15:chartTrackingRefBased/>
  <w15:docId w15:val="{1344BCE2-4B03-4D01-B98E-8C4C9FF8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5809"/>
    <w:pPr>
      <w:spacing w:after="0" w:line="240" w:lineRule="auto"/>
    </w:pPr>
    <w:rPr>
      <w:sz w:val="20"/>
      <w:szCs w:val="20"/>
    </w:rPr>
  </w:style>
  <w:style w:type="character" w:customStyle="1" w:styleId="a4">
    <w:name w:val="Текст сноски Знак"/>
    <w:basedOn w:val="a0"/>
    <w:link w:val="a3"/>
    <w:uiPriority w:val="99"/>
    <w:semiHidden/>
    <w:rsid w:val="00665809"/>
    <w:rPr>
      <w:sz w:val="20"/>
      <w:szCs w:val="20"/>
    </w:rPr>
  </w:style>
  <w:style w:type="character" w:styleId="a5">
    <w:name w:val="footnote reference"/>
    <w:basedOn w:val="a0"/>
    <w:uiPriority w:val="99"/>
    <w:semiHidden/>
    <w:unhideWhenUsed/>
    <w:rsid w:val="0066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030E-512D-400E-BD2C-0643E998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2</cp:revision>
  <dcterms:created xsi:type="dcterms:W3CDTF">2024-03-05T06:56:00Z</dcterms:created>
  <dcterms:modified xsi:type="dcterms:W3CDTF">2024-03-05T06:56:00Z</dcterms:modified>
</cp:coreProperties>
</file>